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жоғары Сыр болады, Көп тағылса қалампыр, кір болады. Тіршілікте жүрейік сіз-біз десіп, Дәурен екі болмайды, бір болады.</w:t>
      </w:r>
    </w:p>
    <w:p>
      <w:pPr>
        <w:spacing w:before="240" w:after="120"/>
      </w:pPr>
      <w:r>
        <w:rPr>
          <w:b/>
          <w:sz w:val="28"/>
        </w:rPr>
        <w:t xml:space="preserve">Kazakh</w:t>
      </w:r>
    </w:p>
    <w:p>
      <w:r>
        <w:rPr>
          <w:b/>
        </w:rPr>
        <w:t xml:space="preserve">Қара өлең үлгілері</w:t>
      </w:r>
    </w:p>
    <w:p>
      <w:r>
        <w:t xml:space="preserve">Біздің ауыл жоғары Сыр болады,</w:t>
      </w:r>
      <w:r>
        <w:br/>
        <w:t xml:space="preserve">Көп тағылса қалампыр, кір болады.</w:t>
      </w:r>
      <w:r>
        <w:br/>
        <w:t xml:space="preserve">Тіршілікте жүрейік сіз-біз десіп,</w:t>
      </w:r>
      <w:r>
        <w:br/>
        <w:t xml:space="preserve">Дәурен екі болмайды, бір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