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Жалғыз ағаш жапанда қу болады, Жерге түссе, миуасы ну болады. Кешегіден көңілім бүгін төмен, Азанғы ішкен қызыл шай у болады.</w:t>
      </w:r>
    </w:p>
    <w:p>
      <w:pPr>
        <w:spacing w:before="240" w:after="120"/>
      </w:pPr>
      <w:r>
        <w:rPr>
          <w:b/>
          <w:sz w:val="28"/>
        </w:rPr>
        <w:t xml:space="preserve">Kazakh</w:t>
      </w:r>
    </w:p>
    <w:p>
      <w:r>
        <w:rPr>
          <w:b/>
        </w:rPr>
        <w:t xml:space="preserve">Қара өлең үлгілері</w:t>
      </w:r>
    </w:p>
    <w:p>
      <w:r>
        <w:t xml:space="preserve">Жалғыз ағаш жапанда қу болады,</w:t>
      </w:r>
      <w:r>
        <w:br/>
        <w:t xml:space="preserve">Жерге түссе, миуасы ну болады.</w:t>
      </w:r>
      <w:r>
        <w:br/>
        <w:t xml:space="preserve">Кешегіден көңілім бүгін төмен,</w:t>
      </w:r>
      <w:r>
        <w:br/>
        <w:t xml:space="preserve">Азанғы ішкен қызыл шай у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