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аңырмаймын, Аққудай көлге жүзген мамырлаймын. Болғанда тілім—інжу, тісім—меруерт, Болса да қандай ақын, жаңылмаймын.</w:t>
      </w:r>
    </w:p>
    <w:p>
      <w:pPr>
        <w:spacing w:before="240" w:after="120"/>
      </w:pPr>
      <w:r>
        <w:rPr>
          <w:b/>
          <w:sz w:val="28"/>
        </w:rPr>
        <w:t xml:space="preserve">Kazakh</w:t>
      </w:r>
    </w:p>
    <w:p>
      <w:r>
        <w:rPr>
          <w:b/>
        </w:rPr>
        <w:t xml:space="preserve">Қара өлең үлгілері</w:t>
      </w:r>
    </w:p>
    <w:p>
      <w:r>
        <w:t xml:space="preserve">Өлеңді айт дегенде аңырмаймын,</w:t>
      </w:r>
      <w:r>
        <w:br/>
        <w:t xml:space="preserve">Аққудай көлге жүзген мамырлаймын.</w:t>
      </w:r>
      <w:r>
        <w:br/>
        <w:t xml:space="preserve">Болғанда тілім—інжу, тісім—меруерт,</w:t>
      </w:r>
      <w:r>
        <w:br/>
        <w:t xml:space="preserve">Болса да қандай ақын, жаңылмаймын.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