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мұнарамын, Түбінде мұнараның тұра аламын. Жасымнан өлең айту дағдым еді, Айтуға енді өлеңді ұяламын.</w:t>
      </w:r>
    </w:p>
    <w:p>
      <w:pPr>
        <w:spacing w:before="240" w:after="120"/>
      </w:pPr>
      <w:r>
        <w:rPr>
          <w:b/>
          <w:sz w:val="28"/>
        </w:rPr>
        <w:t xml:space="preserve">Kazakh</w:t>
      </w:r>
    </w:p>
    <w:p>
      <w:r>
        <w:rPr>
          <w:b/>
        </w:rPr>
        <w:t xml:space="preserve">Қара өлең үлгілері</w:t>
      </w:r>
    </w:p>
    <w:p>
      <w:r>
        <w:t xml:space="preserve">Қаратаудың басында мұнарамын,</w:t>
      </w:r>
      <w:r>
        <w:br/>
        <w:t xml:space="preserve">Түбінде мұнараның тұра аламын.</w:t>
      </w:r>
      <w:r>
        <w:br/>
        <w:t xml:space="preserve">Жасымнан өлең айту дағдым еді,</w:t>
      </w:r>
      <w:r>
        <w:br/>
        <w:t xml:space="preserve">Айтуға енді өлеңді ұяламын.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