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айда-сайда, Ән білген әрқашанда болар пайда. Барады күн санаулы өтіп жалған, Ойнап-күл, ей, шырағым, осындайда.</w:t>
      </w:r>
    </w:p>
    <w:p>
      <w:pPr>
        <w:spacing w:before="240" w:after="120"/>
      </w:pPr>
      <w:r>
        <w:rPr>
          <w:b/>
          <w:sz w:val="28"/>
        </w:rPr>
        <w:t xml:space="preserve">Kazakh</w:t>
      </w:r>
    </w:p>
    <w:p>
      <w:r>
        <w:rPr>
          <w:b/>
        </w:rPr>
        <w:t xml:space="preserve">Қара өлең үлгілері</w:t>
      </w:r>
    </w:p>
    <w:p>
      <w:r>
        <w:t xml:space="preserve">Айтайын, айт дегенің айда-сайда,</w:t>
      </w:r>
      <w:r>
        <w:br/>
        <w:t xml:space="preserve">Ән білген әрқашанда болар пайда.</w:t>
      </w:r>
      <w:r>
        <w:br/>
        <w:t xml:space="preserve">Барады күн санаулы өтіп жалған,</w:t>
      </w:r>
      <w:r>
        <w:br/>
        <w:t xml:space="preserve">Ойнап-күл, ей, шырағым, осындайда.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