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тотияйын, тотияйын, Жағалай керегені отырайын. Біздерден қалағаның өлең болса, Көңілді өлең айтып толтырайын.</w:t>
      </w:r>
    </w:p>
    <w:p>
      <w:pPr>
        <w:spacing w:before="240" w:after="120"/>
      </w:pPr>
      <w:r>
        <w:rPr>
          <w:b/>
          <w:sz w:val="28"/>
        </w:rPr>
        <w:t xml:space="preserve">Kazakh</w:t>
      </w:r>
    </w:p>
    <w:p>
      <w:r>
        <w:rPr>
          <w:b/>
        </w:rPr>
        <w:t xml:space="preserve">Қара өлең үлгілері</w:t>
      </w:r>
    </w:p>
    <w:p>
      <w:r>
        <w:t xml:space="preserve">Ендеше, тотияйын, тотияйын,</w:t>
      </w:r>
      <w:r>
        <w:br/>
        <w:t xml:space="preserve">Жағалай керегені отырайын.</w:t>
      </w:r>
      <w:r>
        <w:br/>
        <w:t xml:space="preserve">Біздерден қалағаның өлең болса,</w:t>
      </w:r>
      <w:r>
        <w:br/>
        <w:t xml:space="preserve">Көңілді өлең айтып толтырайын.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