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Тағы да домбыра ма, домбыра ма, Домбыра тарта берсе, болдыра ма. Көңілді өлең айтып көтерелік, Жігітті сары уайым оңдыра ма?</w:t>
      </w:r>
    </w:p>
    <w:p>
      <w:pPr>
        <w:spacing w:before="240" w:after="120"/>
      </w:pPr>
      <w:r>
        <w:rPr>
          <w:b/>
          <w:sz w:val="28"/>
        </w:rPr>
        <w:t xml:space="preserve">Kazakh</w:t>
      </w:r>
    </w:p>
    <w:p>
      <w:r>
        <w:rPr>
          <w:b/>
        </w:rPr>
        <w:t xml:space="preserve">Қара өлең үлгілері</w:t>
      </w:r>
    </w:p>
    <w:p>
      <w:r>
        <w:t xml:space="preserve">Тағы да домбыра ма, домбыра ма,</w:t>
      </w:r>
      <w:r>
        <w:br/>
        <w:t xml:space="preserve">Домбыра тарта берсе, болдыра ма.</w:t>
      </w:r>
      <w:r>
        <w:br/>
        <w:t xml:space="preserve">Көңілді өлең айтып көтерелік,</w:t>
      </w:r>
      <w:r>
        <w:br/>
        <w:t xml:space="preserve">Жігітті сары уайым оңдыра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