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салсам тоғым боз тарланға, Көңілім орнықпай жүр сұм жалғанға. Сол көңілдің тарқасын шері болса, Тарқар болса шырқатып ән салғанда.</w:t>
      </w:r>
    </w:p>
    <w:p>
      <w:pPr>
        <w:spacing w:before="240" w:after="120"/>
      </w:pPr>
      <w:r>
        <w:rPr>
          <w:b/>
          <w:sz w:val="28"/>
        </w:rPr>
        <w:t xml:space="preserve">Kazakh</w:t>
      </w:r>
    </w:p>
    <w:p>
      <w:r>
        <w:rPr>
          <w:b/>
        </w:rPr>
        <w:t xml:space="preserve">Қара өлең үлгілері</w:t>
      </w:r>
    </w:p>
    <w:p>
      <w:r>
        <w:t xml:space="preserve">Жарасар салсам тоғым боз тарланға,</w:t>
      </w:r>
      <w:r>
        <w:br/>
        <w:t xml:space="preserve">Көңілім орнықпай жүр сұм жалғанға.</w:t>
      </w:r>
      <w:r>
        <w:br/>
        <w:t xml:space="preserve">Сол көңілдің тарқасын шері болса,</w:t>
      </w:r>
      <w:r>
        <w:br/>
        <w:t xml:space="preserve">Тарқар болса шырқатып ән салғанда.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