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Қарағайлы дегенде, қарағайлы, Қарағайды көп жылқы аралайды. Жақсы-жайсаң осындай бас қосқанда, Бекер қарап отырған жарамайды.</w:t>
      </w:r>
    </w:p>
    <w:p>
      <w:pPr>
        <w:spacing w:before="240" w:after="120"/>
      </w:pPr>
      <w:r>
        <w:rPr>
          <w:b/>
          <w:sz w:val="28"/>
        </w:rPr>
        <w:t xml:space="preserve">Kazakh</w:t>
      </w:r>
    </w:p>
    <w:p>
      <w:r>
        <w:rPr>
          <w:b/>
        </w:rPr>
        <w:t xml:space="preserve">Қара өлең үлгілері</w:t>
      </w:r>
    </w:p>
    <w:p>
      <w:r>
        <w:t xml:space="preserve">Қарағайлы дегенде, қарағайлы,</w:t>
      </w:r>
      <w:r>
        <w:br/>
        <w:t xml:space="preserve">Қарағайды көп жылқы аралайды.</w:t>
      </w:r>
      <w:r>
        <w:br/>
        <w:t xml:space="preserve">Жақсы-жайсаң осындай бас қосқанда,</w:t>
      </w:r>
      <w:r>
        <w:br/>
        <w:t xml:space="preserve">Бекер қарап отырған жарамайды.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