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шашым келмейді қайыруға, Не демейді қас-дұшпан айыруға. Десе десін қас-дұшпан айыруға, Тел қозыдай шығайық жайылуға.</w:t>
      </w:r>
    </w:p>
    <w:p>
      <w:pPr>
        <w:spacing w:before="240" w:after="120"/>
      </w:pPr>
      <w:r>
        <w:rPr>
          <w:b/>
          <w:sz w:val="28"/>
        </w:rPr>
        <w:t xml:space="preserve">Kazakh</w:t>
      </w:r>
    </w:p>
    <w:p>
      <w:r>
        <w:rPr>
          <w:b/>
        </w:rPr>
        <w:t xml:space="preserve">Қара өлең үлгілері</w:t>
      </w:r>
    </w:p>
    <w:p>
      <w:r>
        <w:t xml:space="preserve">Қара шашым келмейді қайыруға,</w:t>
      </w:r>
      <w:r>
        <w:br/>
        <w:t xml:space="preserve">Не демейді қас-дұшпан айыруға.</w:t>
      </w:r>
      <w:r>
        <w:br/>
        <w:t xml:space="preserve">Десе десін қас-дұшпан айыруға,</w:t>
      </w:r>
      <w:r>
        <w:br/>
        <w:t xml:space="preserve">Тел қозыдай шығайық жайылуға.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