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Үйірі қаракөктің санда да бар, Баласы ақ патшаның ханда да бар. Қарағым, кетемін деп налымашы, Жақсы атаң, жақсы-ау анаң онда да бар.</w:t>
      </w:r>
    </w:p>
    <w:p>
      <w:pPr>
        <w:spacing w:before="240" w:after="120"/>
      </w:pPr>
      <w:r>
        <w:rPr>
          <w:b/>
          <w:sz w:val="28"/>
        </w:rPr>
        <w:t xml:space="preserve">Kazakh</w:t>
      </w:r>
    </w:p>
    <w:p>
      <w:r>
        <w:rPr>
          <w:b/>
        </w:rPr>
        <w:t xml:space="preserve">Қара өлең үлгілері</w:t>
      </w:r>
    </w:p>
    <w:p>
      <w:r>
        <w:t xml:space="preserve">Үйірі қаракөктің санда да бар,</w:t>
      </w:r>
      <w:r>
        <w:br/>
        <w:t xml:space="preserve">Баласы ақ патшаның ханда да бар.</w:t>
      </w:r>
      <w:r>
        <w:br/>
        <w:t xml:space="preserve">Қарағым, кетемін деп налымашы,</w:t>
      </w:r>
      <w:r>
        <w:br/>
        <w:t xml:space="preserve">Жақсы атаң, жақсы-ау анаң онда да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