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«әрияйдай» басы емес пе, Жағасы дарияның тас емес пе. Құрбылар, осындайда ойна да күл, Іздеген той, тамаша осы емес пе?</w:t>
      </w:r>
    </w:p>
    <w:p>
      <w:pPr>
        <w:spacing w:before="240" w:after="120"/>
      </w:pPr>
      <w:r>
        <w:rPr>
          <w:b/>
          <w:sz w:val="28"/>
        </w:rPr>
        <w:t xml:space="preserve">Kazakh</w:t>
      </w:r>
    </w:p>
    <w:p>
      <w:r>
        <w:rPr>
          <w:b/>
        </w:rPr>
        <w:t xml:space="preserve">Қара өлең үлгілері</w:t>
      </w:r>
    </w:p>
    <w:p>
      <w:r>
        <w:t xml:space="preserve">Өлеңнің «әрияйдай» басы емес пе,</w:t>
      </w:r>
      <w:r>
        <w:br/>
        <w:t xml:space="preserve">Жағасы дарияның тас емес пе.</w:t>
      </w:r>
      <w:r>
        <w:br/>
        <w:t xml:space="preserve">Құрбылар, осындайда ойна да күл,</w:t>
      </w:r>
      <w:r>
        <w:br/>
        <w:t xml:space="preserve">Іздеген той, тамаша осы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