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аңырар ма, Өлеңнен нағыз ақын жаңылар ма. Өлеңді айт дегенде ағылтайық, Өлеңнің тойда айтпаған мәні бар ма.</w:t>
      </w:r>
    </w:p>
    <w:p>
      <w:pPr>
        <w:spacing w:before="240" w:after="120"/>
      </w:pPr>
      <w:r>
        <w:rPr>
          <w:b/>
          <w:sz w:val="28"/>
        </w:rPr>
        <w:t xml:space="preserve">Kazakh</w:t>
      </w:r>
    </w:p>
    <w:p>
      <w:r>
        <w:rPr>
          <w:b/>
        </w:rPr>
        <w:t xml:space="preserve">Қара өлең үлгілері</w:t>
      </w:r>
    </w:p>
    <w:p>
      <w:r>
        <w:t xml:space="preserve">Өлеңді айт дегенде аңырар ма,</w:t>
      </w:r>
      <w:r>
        <w:br/>
        <w:t xml:space="preserve">Өлеңнен нағыз ақын жаңылар ма.</w:t>
      </w:r>
      <w:r>
        <w:br/>
        <w:t xml:space="preserve">Өлеңді айт дегенде ағылтайық,</w:t>
      </w:r>
      <w:r>
        <w:br/>
        <w:t xml:space="preserve">Өлеңнің тойда айтпаған мәні бар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