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Ағашы қия беттің бақан болмас, Өзіңмен бірге тумай апаң болмас. Бұрынғы-соңғылардың жолы тоғыз, Баратын тойға киіп шапан болмас.</w:t>
      </w:r>
    </w:p>
    <w:p>
      <w:pPr>
        <w:spacing w:before="240" w:after="120"/>
      </w:pPr>
      <w:r>
        <w:rPr>
          <w:b/>
          <w:sz w:val="28"/>
        </w:rPr>
        <w:t xml:space="preserve">Kazakh</w:t>
      </w:r>
    </w:p>
    <w:p>
      <w:r>
        <w:rPr>
          <w:b/>
        </w:rPr>
        <w:t xml:space="preserve">Қара өлең үлгілері</w:t>
      </w:r>
    </w:p>
    <w:p>
      <w:r>
        <w:t xml:space="preserve">Ағашы қия беттің бақан болмас,</w:t>
      </w:r>
      <w:r>
        <w:br/>
        <w:t xml:space="preserve">Өзіңмен бірге тумай апаң болмас.</w:t>
      </w:r>
      <w:r>
        <w:br/>
        <w:t xml:space="preserve">Бұрынғы-соңғылардың жолы тоғыз,</w:t>
      </w:r>
      <w:r>
        <w:br/>
        <w:t xml:space="preserve">Баратын тойға киіп шапан болмас.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