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тамашаға, Тыңдаса үлкен-кіші, бала-шаға. Той тойлап топ ішінде отырғанда, Көңілді көтермесек жараса ма?</w:t>
      </w:r>
    </w:p>
    <w:p>
      <w:pPr>
        <w:spacing w:before="240" w:after="120"/>
      </w:pPr>
      <w:r>
        <w:rPr>
          <w:b/>
          <w:sz w:val="28"/>
        </w:rPr>
        <w:t xml:space="preserve">Kazakh</w:t>
      </w:r>
    </w:p>
    <w:p>
      <w:r>
        <w:rPr>
          <w:b/>
        </w:rPr>
        <w:t xml:space="preserve">Қара өлең үлгілері</w:t>
      </w:r>
    </w:p>
    <w:p>
      <w:r>
        <w:t xml:space="preserve">Берейік өлең айтып тамашаға,</w:t>
      </w:r>
      <w:r>
        <w:br/>
        <w:t xml:space="preserve">Тыңдаса үлкен-кіші, бала-шаға.</w:t>
      </w:r>
      <w:r>
        <w:br/>
        <w:t xml:space="preserve">Той тойлап топ ішінде отырғанда,</w:t>
      </w:r>
      <w:r>
        <w:br/>
        <w:t xml:space="preserve">Көңілді көтермесек жараса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