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Лайық жорашыға жол тұрады, Лайық жампоз нарға қом тұрады. Кетті деп тойға барым тарықпаңыз, Тәңірім той есесін толтырады.</w:t>
      </w:r>
    </w:p>
    <w:p>
      <w:pPr>
        <w:spacing w:before="240" w:after="120"/>
      </w:pPr>
      <w:r>
        <w:rPr>
          <w:b/>
          <w:sz w:val="28"/>
        </w:rPr>
        <w:t xml:space="preserve">Kazakh</w:t>
      </w:r>
    </w:p>
    <w:p>
      <w:r>
        <w:rPr>
          <w:b/>
        </w:rPr>
        <w:t xml:space="preserve">Қара өлең үлгілері</w:t>
      </w:r>
    </w:p>
    <w:p>
      <w:r>
        <w:t xml:space="preserve">Лайық жорашыға жол тұрады,</w:t>
      </w:r>
      <w:r>
        <w:br/>
        <w:t xml:space="preserve">Лайық жампоз нарға қом тұрады.</w:t>
      </w:r>
      <w:r>
        <w:br/>
        <w:t xml:space="preserve">Кетті деп тойға барым тарықпаңыз,</w:t>
      </w:r>
      <w:r>
        <w:br/>
        <w:t xml:space="preserve">Тәңірім той есесін толтырады.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