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Наурыз—шыр айналған жылдың басы, Адамның өлшенеді өмір жасы. Қазақтың пейіліне жарасады Әр үйде дастарханға толған асы.</w:t>
      </w:r>
    </w:p>
    <w:p>
      <w:pPr>
        <w:spacing w:before="240" w:after="120"/>
      </w:pPr>
      <w:r>
        <w:rPr>
          <w:b/>
          <w:sz w:val="28"/>
        </w:rPr>
        <w:t xml:space="preserve">Kazakh</w:t>
      </w:r>
    </w:p>
    <w:p>
      <w:r>
        <w:rPr>
          <w:b/>
        </w:rPr>
        <w:t xml:space="preserve">Қара өлең үлгілері</w:t>
      </w:r>
    </w:p>
    <w:p>
      <w:r>
        <w:t xml:space="preserve">Наурыз—шыр айналған жылдың басы,</w:t>
      </w:r>
      <w:r>
        <w:br/>
        <w:t xml:space="preserve">Адамның өлшенеді өмір жасы.</w:t>
      </w:r>
      <w:r>
        <w:br/>
        <w:t xml:space="preserve">Қазақтың пейіліне жарасады</w:t>
      </w:r>
      <w:r>
        <w:br/>
        <w:t xml:space="preserve">Әр үйде дастарханға толған 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