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 қайтсін басқаны асқан бағы, Ұра берсең, от шығар тастан дағы. Кісі жары кісіге жар болмайды, Балапандай бауырыңа бассаң дағы.</w:t>
      </w:r>
    </w:p>
    <w:p>
      <w:pPr>
        <w:spacing w:before="240" w:after="120"/>
      </w:pPr>
      <w:r>
        <w:rPr>
          <w:b/>
          <w:sz w:val="28"/>
        </w:rPr>
        <w:t xml:space="preserve">Kazakh</w:t>
      </w:r>
    </w:p>
    <w:p>
      <w:r>
        <w:rPr>
          <w:b/>
        </w:rPr>
        <w:t xml:space="preserve">Қара өлең үлгілері</w:t>
      </w:r>
    </w:p>
    <w:p>
      <w:r>
        <w:t xml:space="preserve">Адам қайтсін басқаны асқан бағы,</w:t>
      </w:r>
      <w:r>
        <w:br/>
        <w:t xml:space="preserve">Ұра берсең, от шығар тастан дағы.</w:t>
      </w:r>
      <w:r>
        <w:br/>
        <w:t xml:space="preserve">Кісі жары кісіге жар болмайды,</w:t>
      </w:r>
      <w:r>
        <w:br/>
        <w:t xml:space="preserve">Балапандай бауырыңа бассаң 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