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Мінгенім дәйім менің көктөбелім, Көктөбел жылқысы еді Көктөбенің. Астымда көктөбелім аман болса, Баруға жақын болар алыс жерің.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Мінгенім дәйім менің көктөбелім, </w:t>
      </w:r>
      <w:r>
        <w:br/>
        <w:t xml:space="preserve">Көктөбел жылқысы еді Көктөбенің. </w:t>
      </w:r>
      <w:r>
        <w:br/>
        <w:t xml:space="preserve">Астымда көктөбелім аман болса, </w:t>
      </w:r>
      <w:r>
        <w:br/>
        <w:t xml:space="preserve">Баруға жақын болар алыс жерің.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My mount is always my gray horse,  </w:t>
      </w:r>
      <w:r>
        <w:br/>
        <w:t xml:space="preserve">The gray horse of Kök-Töbe.  </w:t>
      </w:r>
      <w:r>
        <w:br/>
        <w:t xml:space="preserve">As long as my gray horse is safe beneath me,  </w:t>
      </w:r>
      <w:r>
        <w:br/>
        <w:t xml:space="preserve">Your distant land will be close to reach.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25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25. folkenu.kz Corpus. Accessed 2026-10-22.</w:t>
      </w:r>
    </w:p>
  </w:body>
</w:document>
</file>