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Айтамын бірден санап көп атымды, Басқа емес мініп жүрген өз атымды. Жасынан жүлде бермес жүйрік еді, Айтамын өлең қылып боз атымды.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 </w:t>
      </w:r>
    </w:p>
    <w:p>
      <w:r>
        <w:t xml:space="preserve">Айтамын бірден санап көп атымды, </w:t>
      </w:r>
      <w:r>
        <w:br/>
        <w:t xml:space="preserve">Басқа емес мініп жүрген өз атымды. </w:t>
      </w:r>
      <w:r>
        <w:br/>
        <w:t xml:space="preserve">Жасынан жүлде бермес жүйрік еді, </w:t>
      </w:r>
      <w:r>
        <w:br/>
        <w:t xml:space="preserve">Айтамын өлең қылып боз атымды.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11. folkenu.kz Corpus. Accessed 2026-07-18.</w:t>
      </w:r>
    </w:p>
  </w:body>
</w:document>
</file>