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Ауылым көшіп барады Аққауланға, Жабағы арық, тай семіз көп сауғанға. Айналсоқтап қасыңнан шыға алмаймын, Ақ білекті сыбанып қой сауғанда.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Ауылым көшіп барады Аққауланға, Жабағы арық, тай семіз көп сауғанға. Айналсоқтап қасыңнан шыға алмаймын, Ақ білекті сыбанып қой сауғанда.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