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танауысың, Жігіттің көрдім мен де таңдаулысын. Ұсынсам жүрегімді қолыма алып, Қуаныштан от болып жанбаймысың.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танауысың, Жігіттің көрдім мен де таңдаулысын. Ұсынсам жүрегімді қолыма алып, Қуаныштан от болып жанбаймысың.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17. folkenu.kz Corpus. Accessed 2026-07-17.</w:t>
      </w:r>
    </w:p>
  </w:body>
</w:document>
</file>