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Жетер ме, салсам құрық көк дөненге, Көк дөнен кез болмасын көлденеңге. Кеткенде алыс аулың, қимас қалқа, Көк дөнен де ат болар өлмегенге.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Жетер ме, салсам құрық көк дөненге,</w:t>
      </w:r>
      <w:r>
        <w:br/>
        <w:t xml:space="preserve">Көк дөнен кез болмасын көлденеңге. </w:t>
      </w:r>
      <w:r>
        <w:br/>
        <w:t xml:space="preserve">Кеткенде алыс аулың, қимас қалқа, </w:t>
      </w:r>
      <w:r>
        <w:br/>
        <w:t xml:space="preserve">Көк дөнен де ат болар өлмегенге.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Will it be enough if I put a lasso on the blue stallion,  </w:t>
      </w:r>
      <w:r>
        <w:br/>
        <w:t xml:space="preserve">Let the blue stallion not cross my path.  </w:t>
      </w:r>
      <w:r>
        <w:br/>
        <w:t xml:space="preserve">When your distant village departs, dear shade,  </w:t>
      </w:r>
      <w:r>
        <w:br/>
        <w:t xml:space="preserve">The blue stallion will also become a horse for the undying.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19. folkenu.kz Corpus. Accessed 2026-10-20.</w:t>
      </w:r>
    </w:p>
  </w:body>
</w:document>
</file>