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жоғарыда от жағып тұр, Дабылдатып дабылын ол қағып тұр. От жағып, дабыл қағып тұрғанында Сабалап төменге су ағып тұр. (Найзағай, жаңбыр)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жоғарыда от жағып тұр, Дабылдатып дабылын ол қағып тұр. От жағып, дабыл қағып тұрғанында Сабалап төменге су ағып тұр.</w:t>
      </w:r>
      <w:r>
        <w:br/>
        <w:t xml:space="preserve">(Найзағай, 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2026-10-20.</w:t>
      </w:r>
    </w:p>
  </w:body>
</w:document>
</file>