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білген құлға, Ақ теңгесін кім қимас алар пұлға. Оралыңның барында ойна да күл, Өлгеннен соң адыра қалар тұлға.</w:t>
      </w:r>
    </w:p>
    <w:p>
      <w:pPr>
        <w:spacing w:before="240" w:after="120"/>
      </w:pPr>
      <w:r>
        <w:rPr>
          <w:b/>
          <w:sz w:val="28"/>
        </w:rPr>
        <w:t xml:space="preserve">Қазақша</w:t>
      </w:r>
    </w:p>
    <w:p>
      <w:r>
        <w:rPr>
          <w:b/>
        </w:rPr>
        <w:t xml:space="preserve">Қара өлең үлгілері</w:t>
      </w:r>
    </w:p>
    <w:p>
      <w:r>
        <w:t xml:space="preserve">Өлең деген немене білген құлға,</w:t>
      </w:r>
      <w:r>
        <w:br/>
        <w:t xml:space="preserve">Ақ теңгесін кім қимас алар пұлға.</w:t>
      </w:r>
      <w:r>
        <w:br/>
        <w:t xml:space="preserve">Оралыңның барында ойна да күл,</w:t>
      </w:r>
      <w:r>
        <w:br/>
        <w:t xml:space="preserve">Өлгеннен соң адыра қалар тұлға.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