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Әриялар, ендеше, әриялар, Қара ағаштың басына қарға ұялар. Жақсысы бар өлеңнің, жаманы бар, Қандай өлең айтамыз қариялар.</w:t>
      </w:r>
    </w:p>
    <w:p>
      <w:pPr>
        <w:spacing w:before="240" w:after="120"/>
      </w:pPr>
      <w:r>
        <w:rPr>
          <w:b/>
          <w:sz w:val="28"/>
        </w:rPr>
        <w:t xml:space="preserve">Қазақша</w:t>
      </w:r>
    </w:p>
    <w:p>
      <w:r>
        <w:rPr>
          <w:b/>
        </w:rPr>
        <w:t xml:space="preserve">Қара өлең үлгілері</w:t>
      </w:r>
    </w:p>
    <w:p>
      <w:r>
        <w:t xml:space="preserve">Әриялар, ендеше, әриялар,</w:t>
      </w:r>
      <w:r>
        <w:br/>
        <w:t xml:space="preserve">Қара ағаштың басына қарға ұялар.</w:t>
      </w:r>
      <w:r>
        <w:br/>
        <w:t xml:space="preserve">Жақсысы бар өлеңнің, жаманы бар,</w:t>
      </w:r>
      <w:r>
        <w:br/>
        <w:t xml:space="preserve">Қандай өлең айтамыз қариялар.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