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емес, тойдың аты—той топырақ, Өседі қия жерге жау жапырақ. Мырза болса құдағи, той жасасын, Шүберек бере көрме бір жапырақ.</w:t>
      </w:r>
    </w:p>
    <w:p>
      <w:pPr>
        <w:spacing w:before="240" w:after="120"/>
      </w:pPr>
      <w:r>
        <w:rPr>
          <w:b/>
          <w:sz w:val="28"/>
        </w:rPr>
        <w:t xml:space="preserve">Қазақша</w:t>
      </w:r>
    </w:p>
    <w:p>
      <w:r>
        <w:rPr>
          <w:b/>
        </w:rPr>
        <w:t xml:space="preserve">Қара өлең үлгілері</w:t>
      </w:r>
    </w:p>
    <w:p>
      <w:r>
        <w:t xml:space="preserve">Той емес, тойдың аты—той топырақ,</w:t>
      </w:r>
      <w:r>
        <w:br/>
        <w:t xml:space="preserve">Өседі қия жерге жау жапырақ.</w:t>
      </w:r>
      <w:r>
        <w:br/>
        <w:t xml:space="preserve">Мырза болса құдағи, той жасасын,</w:t>
      </w:r>
      <w:r>
        <w:br/>
        <w:t xml:space="preserve">Шүберек бере көрме бір жапырақ.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