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жақ барында, Басында таудай талап, бақ барында. Барында оралыңның ойна да күл, Тәңірім өзі білер сақтарын да.</w:t>
      </w:r>
    </w:p>
    <w:p>
      <w:pPr>
        <w:spacing w:before="240" w:after="120"/>
      </w:pPr>
      <w:r>
        <w:rPr>
          <w:b/>
          <w:sz w:val="28"/>
        </w:rPr>
        <w:t xml:space="preserve">Қазақша</w:t>
      </w:r>
    </w:p>
    <w:p>
      <w:r>
        <w:rPr>
          <w:b/>
        </w:rPr>
        <w:t xml:space="preserve">Қара өлең үлгілері</w:t>
      </w:r>
    </w:p>
    <w:p>
      <w:r>
        <w:t xml:space="preserve">Сөйлей бер, қызыл тілім, жақ барында,</w:t>
      </w:r>
      <w:r>
        <w:br/>
        <w:t xml:space="preserve">Басында таудай талап, бақ барында.</w:t>
      </w:r>
      <w:r>
        <w:br/>
        <w:t xml:space="preserve">Барында оралыңның ойна да күл,</w:t>
      </w:r>
      <w:r>
        <w:br/>
        <w:t xml:space="preserve">Тәңірім өзі білер сақтарын 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