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ат шапқан сайын арындайды, Өлеңнен ақын жігіт жаңылмайды. Барында оралыңның ойна да күл, Мереке күнде мұндай табылмайды.</w:t>
      </w:r>
    </w:p>
    <w:p>
      <w:pPr>
        <w:spacing w:before="240" w:after="120"/>
      </w:pPr>
      <w:r>
        <w:rPr>
          <w:b/>
          <w:sz w:val="28"/>
        </w:rPr>
        <w:t xml:space="preserve">Қазақша</w:t>
      </w:r>
    </w:p>
    <w:p>
      <w:r>
        <w:rPr>
          <w:b/>
        </w:rPr>
        <w:t xml:space="preserve">Қара өлең үлгілері</w:t>
      </w:r>
    </w:p>
    <w:p>
      <w:r>
        <w:t xml:space="preserve">Жүйрік ат шапқан сайын арындайды,</w:t>
      </w:r>
      <w:r>
        <w:br/>
        <w:t xml:space="preserve">Өлеңнен ақын жігіт жаңылмайды.</w:t>
      </w:r>
      <w:r>
        <w:br/>
        <w:t xml:space="preserve">Барында оралыңның ойна да күл,</w:t>
      </w:r>
      <w:r>
        <w:br/>
        <w:t xml:space="preserve">Мереке күнде мұндай табылмайды.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