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Отырады молдалар «бісміллалап», Отырады тойда кім босқа қарап. Топтан озған өлеңмен тұлпар болсаң, Қосылайын тұсыңнан қабырғалап.</w:t>
      </w:r>
    </w:p>
    <w:p>
      <w:pPr>
        <w:spacing w:before="240" w:after="120"/>
      </w:pPr>
      <w:r>
        <w:rPr>
          <w:b/>
          <w:sz w:val="28"/>
        </w:rPr>
        <w:t xml:space="preserve">Қазақша</w:t>
      </w:r>
    </w:p>
    <w:p>
      <w:r>
        <w:rPr>
          <w:b/>
        </w:rPr>
        <w:t xml:space="preserve">Қара өлең үлгілері</w:t>
      </w:r>
    </w:p>
    <w:p>
      <w:r>
        <w:t xml:space="preserve">Отырады молдалар «бісміллалап»,</w:t>
      </w:r>
      <w:r>
        <w:br/>
        <w:t xml:space="preserve">Отырады тойда кім босқа қарап.</w:t>
      </w:r>
      <w:r>
        <w:br/>
        <w:t xml:space="preserve">Топтан озған өлеңмен тұлпар болсаң,</w:t>
      </w:r>
      <w:r>
        <w:br/>
        <w:t xml:space="preserve">Қосылайын тұсыңнан қабырғалап.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