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Ақжарқын жан екенсің тілің майда, Ән білген, өлең білген жанға пайда. Барады өтіп жалған санаулы күн, Қалайық ойнап-күліп осындайда.</w:t>
      </w:r>
    </w:p>
    <w:p>
      <w:pPr>
        <w:spacing w:before="240" w:after="120"/>
      </w:pPr>
      <w:r>
        <w:rPr>
          <w:b/>
          <w:sz w:val="28"/>
        </w:rPr>
        <w:t xml:space="preserve">Қазақша</w:t>
      </w:r>
    </w:p>
    <w:p>
      <w:r>
        <w:rPr>
          <w:b/>
        </w:rPr>
        <w:t xml:space="preserve">Қара өлең үлгілері</w:t>
      </w:r>
    </w:p>
    <w:p>
      <w:r>
        <w:t xml:space="preserve">Ақжарқын жан екенсің тілің майда,</w:t>
      </w:r>
      <w:r>
        <w:br/>
        <w:t xml:space="preserve">Ән білген, өлең білген жанға пайда.</w:t>
      </w:r>
      <w:r>
        <w:br/>
        <w:t xml:space="preserve">Барады өтіп жалған санаулы күн,</w:t>
      </w:r>
      <w:r>
        <w:br/>
        <w:t xml:space="preserve">Қалайық ойнап-күліп осындайда.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