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Мақсатқа жетер түбі тура жүрген, Дарияға айланбайды су да бірден. Әркім өз шамасына шақ боп жүрер, Бір әке, бір шешеден туғанымен.</w:t>
      </w:r>
    </w:p>
    <w:p>
      <w:pPr>
        <w:spacing w:before="240" w:after="120"/>
      </w:pPr>
      <w:r>
        <w:rPr>
          <w:b/>
          <w:sz w:val="28"/>
        </w:rPr>
        <w:t xml:space="preserve">Қазақша</w:t>
      </w:r>
    </w:p>
    <w:p>
      <w:r>
        <w:rPr>
          <w:b/>
        </w:rPr>
        <w:t xml:space="preserve">Қара өлең үлгілері</w:t>
      </w:r>
    </w:p>
    <w:p>
      <w:r>
        <w:t xml:space="preserve">Мақсатқа жетер түбі тура жүрген,</w:t>
      </w:r>
      <w:r>
        <w:br/>
        <w:t xml:space="preserve">Дарияға айланбайды су да бірден.</w:t>
      </w:r>
      <w:r>
        <w:br/>
        <w:t xml:space="preserve">Әркім өз шамасына шақ боп жүрер,</w:t>
      </w:r>
      <w:r>
        <w:br/>
        <w:t xml:space="preserve">Бір әке, бір шешеден туғанымен.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