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Алтын-Жаппас</w:t>
      </w:r>
    </w:p>
    <w:p>
      <w:r>
        <w:rPr>
          <w:i/>
        </w:rPr>
        <w:t xml:space="preserve">Жаппасты Алтын төрт баласына қосып бесінші бала етіп, асырап өсіріпті. Сөйтіп, ол төрт бала «біз Алтынбыз» деп, ал Жаппаспен бірігіп, кейін «Алтын-Жаппас» руы атанған.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Алтын-Жаппас</w:t>
      </w:r>
    </w:p>
    <w:p>
      <w:r>
        <w:t xml:space="preserve">Жаппасты Алтын төрт баласына қосып бесінші бала етіп, асырап өсіріпті. Сөйтіп, ол төрт бала «біз Алтынбыз» деп, ал Жаппаспен бірігіп, кейін «Алтын-Жаппас» руы атанған.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301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Алтын-Жаппас. Дереккөз: Бабалар сөзі: Жүзтомдық.—Астана: «Фолиант», 2012. Т. 83: Шежірелік аңыздар.—448 бет.. Беттер: 301. folkenu.kz корпусы. Қаралған күні 2026-10-21.</w:t>
      </w:r>
    </w:p>
  </w:body>
</w:document>
</file>