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Базардан алып келген ақшым бөз бар, Ішінде ақшым бөздің ырғай кез бар. Кем ақыл, сен білмейсің мен айтайын, «Шығыпты жылқы желден» деген сөз бар.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Базардан алып келген ақшым бөз бар, Ішінде ақшым бөздің ырғай кез бар. Кем ақыл, сен білмейсің мен айтайын,</w:t>
      </w:r>
      <w:r>
        <w:br/>
        <w:t xml:space="preserve">«Шығыпты жылқы желден» деген сөз бар.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13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13. folkenu.kz корпусы. Қаралған күні 2026-07-17.</w:t>
      </w:r>
    </w:p>
  </w:body>
</w:document>
</file>