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секілдісің арқасындай, Сырың бар қатпарланған құз тасындай. Келгенде қара өлеңге дес бермейсің, Қияның құзғын ұшпас жартасындай.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аттың секілдісің арқасындай, Сырың бар қатпарланған құз тасындай. Келгенде қара өлеңге дес бермейсің, Қияның құзғын ұшпас жартасындай.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15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Қазан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 томдық.—Астана: «Фолиант», 2004. Т. 12: Діни дастандар.—2005.—328 бет, суретті. Беттер: 15. folkenu.kz корпусы. Қаралған күні 2026-07-17.</w:t>
      </w:r>
    </w:p>
  </w:body>
</w:document>
</file>