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жорға мүлде арықтап жүре алмаған, Адамға қадірі жоқ сыр алмаған. Жылайды, кісінейді күндіз-түні Жанына шипа тілеп бір Алладан.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жорға мүлде арықтап жүре алмаған, Адамға қадірі жоқ сыр алмаған. Жылайды, кісінейді күндіз-түні Жанына шипа тілеп бір Алладан.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